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D02A" w14:textId="6754E4FE" w:rsidR="0075568D" w:rsidRPr="00AB04AA" w:rsidRDefault="00AB04AA" w:rsidP="0075568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4AA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17107AA9" w14:textId="70BE0E17" w:rsidR="005A44EB" w:rsidRPr="00AB04AA" w:rsidRDefault="0075568D" w:rsidP="00755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4AA">
        <w:rPr>
          <w:rFonts w:ascii="Times New Roman" w:hAnsi="Times New Roman" w:cs="Times New Roman"/>
          <w:b/>
          <w:bCs/>
          <w:sz w:val="24"/>
          <w:szCs w:val="24"/>
        </w:rPr>
        <w:t xml:space="preserve">SIM </w:t>
      </w:r>
      <w:r w:rsidR="005A44EB" w:rsidRPr="00AB04AA">
        <w:rPr>
          <w:rFonts w:ascii="Times New Roman" w:hAnsi="Times New Roman" w:cs="Times New Roman"/>
          <w:b/>
          <w:bCs/>
          <w:sz w:val="24"/>
          <w:szCs w:val="24"/>
        </w:rPr>
        <w:t>Opolskie Sp. z o.o.</w:t>
      </w:r>
    </w:p>
    <w:p w14:paraId="00EF8BAD" w14:textId="28182D63" w:rsidR="005A44EB" w:rsidRDefault="005A44EB" w:rsidP="00755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Rynek 40</w:t>
      </w:r>
    </w:p>
    <w:p w14:paraId="7A65AFC2" w14:textId="6A7A4BE2" w:rsidR="005A44EB" w:rsidRDefault="005A44EB" w:rsidP="00755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48-300 Nysa</w:t>
      </w:r>
    </w:p>
    <w:p w14:paraId="0291C117" w14:textId="46A0E2E6" w:rsidR="0075568D" w:rsidRPr="000B1656" w:rsidRDefault="0075568D" w:rsidP="0075568D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KRS: </w:t>
      </w:r>
      <w:r w:rsidRPr="000B16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0000981070 </w:t>
      </w:r>
    </w:p>
    <w:p w14:paraId="2CA93D10" w14:textId="77777777" w:rsidR="0075568D" w:rsidRPr="000B1656" w:rsidRDefault="0075568D" w:rsidP="0075568D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B16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NIP: 753-246-31-35 </w:t>
      </w:r>
    </w:p>
    <w:p w14:paraId="73986102" w14:textId="77777777" w:rsidR="0075568D" w:rsidRPr="000B1656" w:rsidRDefault="0075568D" w:rsidP="0075568D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B16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REGON: 520702142</w:t>
      </w:r>
    </w:p>
    <w:p w14:paraId="57130C7D" w14:textId="77777777" w:rsidR="00EC78BF" w:rsidRPr="000B1656" w:rsidRDefault="00EC78BF" w:rsidP="000B1656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47608F8C" w14:textId="77777777" w:rsidR="0075568D" w:rsidRDefault="0075568D" w:rsidP="0075568D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08BF4A86" w14:textId="77777777" w:rsidR="0075568D" w:rsidRDefault="0075568D" w:rsidP="0075568D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76D03F5C" w14:textId="77777777" w:rsidR="005A44EB" w:rsidRDefault="005A44EB" w:rsidP="0075568D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0A63948F" w14:textId="429204D5" w:rsidR="00EC78BF" w:rsidRDefault="00EC78BF" w:rsidP="0075568D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AB04AA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ZAPRASZA</w:t>
      </w:r>
    </w:p>
    <w:p w14:paraId="557CFAFD" w14:textId="77777777" w:rsidR="00AB04AA" w:rsidRPr="00AB04AA" w:rsidRDefault="00AB04AA" w:rsidP="0075568D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</w:p>
    <w:p w14:paraId="3C97E575" w14:textId="4D79E3E7" w:rsidR="00EC78BF" w:rsidRPr="00AB04AA" w:rsidRDefault="00AB04AA" w:rsidP="006F53EB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u</w:t>
      </w:r>
      <w:r w:rsidR="00EC78BF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praw</w:t>
      </w: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n</w:t>
      </w:r>
      <w:r w:rsidR="00EC78BF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ione podmioty do składania ofert na b</w:t>
      </w:r>
      <w:r w:rsidR="005A44EB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adanie</w:t>
      </w:r>
      <w:r w:rsidR="00EC78BF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sprawozdania finansowego </w:t>
      </w:r>
      <w:r w:rsidR="00A13BBD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br/>
      </w:r>
      <w:r w:rsidR="00EC78BF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za rok 2023 oraz sporządzenia pisemnych dokumentacji z tych czynności zgodnie </w:t>
      </w:r>
      <w:r w:rsidR="00A13BBD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br/>
      </w:r>
      <w:r w:rsidR="00EC78BF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z wymogami przepisów ustawy z dnia 29.09.1994r. o rachunkowości (tekst jednolity</w:t>
      </w:r>
      <w:r w:rsidR="00A13BBD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:</w:t>
      </w:r>
      <w:r w:rsidR="00EC78BF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="00A13BBD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br/>
      </w:r>
      <w:r w:rsidRPr="00AB04AA">
        <w:rPr>
          <w:rFonts w:ascii="Times New Roman" w:hAnsi="Times New Roman" w:cs="Times New Roman"/>
          <w:b/>
          <w:bCs/>
          <w:sz w:val="24"/>
          <w:szCs w:val="24"/>
        </w:rPr>
        <w:t>Dz. U. z 2023 r. poz. 120, 295, 1598, z 2024 r. poz. 619</w:t>
      </w:r>
      <w:r w:rsidR="00EC78BF" w:rsidRPr="00AB04A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).</w:t>
      </w:r>
    </w:p>
    <w:p w14:paraId="6F1AC96F" w14:textId="77777777" w:rsidR="00EC78BF" w:rsidRPr="00AB04AA" w:rsidRDefault="00EC78BF" w:rsidP="000B1656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7FC22A7B" w14:textId="77777777" w:rsidR="000B1656" w:rsidRPr="000B1656" w:rsidRDefault="000B1656" w:rsidP="000B1656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1BC5046C" w14:textId="77777777" w:rsidR="000B1656" w:rsidRPr="000B1656" w:rsidRDefault="000B1656" w:rsidP="000B1656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7E06DC91" w14:textId="77777777" w:rsidR="000B1656" w:rsidRPr="0075568D" w:rsidRDefault="000B1656" w:rsidP="000B1656">
      <w:pPr>
        <w:spacing w:after="0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</w:rPr>
      </w:pPr>
    </w:p>
    <w:p w14:paraId="50DA0058" w14:textId="6F0AE1FB" w:rsidR="00EC78BF" w:rsidRDefault="000B1656" w:rsidP="000B1656">
      <w:pPr>
        <w:spacing w:after="0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</w:rPr>
      </w:pPr>
      <w:r w:rsidRPr="0075568D">
        <w:rPr>
          <w:rFonts w:ascii="Times New Roman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</w:rPr>
        <w:t xml:space="preserve">INFORMACJE ISTOTNE DLA WYKONAWCÓW: </w:t>
      </w:r>
    </w:p>
    <w:p w14:paraId="6D45DCF0" w14:textId="77777777" w:rsidR="00AB04AA" w:rsidRPr="0075568D" w:rsidRDefault="00AB04AA" w:rsidP="000B1656">
      <w:pPr>
        <w:spacing w:after="0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</w:rPr>
      </w:pPr>
    </w:p>
    <w:p w14:paraId="4110F5EC" w14:textId="2C725A5F" w:rsidR="00F0302A" w:rsidRPr="000B1656" w:rsidRDefault="00F0302A" w:rsidP="000B16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Postępowanie prowadzone jest przez Zamawiającego z wyłączeniem stosowania przepisów ustawy z dnia 11.09.2019 r. Prawo zamówień publicznych (tekst jednolity; Dz. U. z 202</w:t>
      </w:r>
      <w:r w:rsidR="008E4767">
        <w:rPr>
          <w:rFonts w:ascii="Times New Roman" w:hAnsi="Times New Roman" w:cs="Times New Roman"/>
          <w:sz w:val="24"/>
          <w:szCs w:val="24"/>
        </w:rPr>
        <w:t>3</w:t>
      </w:r>
      <w:r w:rsidRPr="000B1656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E4767">
        <w:rPr>
          <w:rFonts w:ascii="Times New Roman" w:hAnsi="Times New Roman" w:cs="Times New Roman"/>
          <w:sz w:val="24"/>
          <w:szCs w:val="24"/>
        </w:rPr>
        <w:t>605,1720</w:t>
      </w:r>
      <w:r w:rsidRPr="000B1656">
        <w:rPr>
          <w:rFonts w:ascii="Times New Roman" w:hAnsi="Times New Roman" w:cs="Times New Roman"/>
          <w:sz w:val="24"/>
          <w:szCs w:val="24"/>
        </w:rPr>
        <w:t>)- gdyż jego szacowana wartość nie przekroczy kwoty 130.00</w:t>
      </w:r>
      <w:r w:rsidR="00F24179">
        <w:rPr>
          <w:rFonts w:ascii="Times New Roman" w:hAnsi="Times New Roman" w:cs="Times New Roman"/>
          <w:sz w:val="24"/>
          <w:szCs w:val="24"/>
        </w:rPr>
        <w:t>0</w:t>
      </w:r>
      <w:r w:rsidRPr="000B1656">
        <w:rPr>
          <w:rFonts w:ascii="Times New Roman" w:hAnsi="Times New Roman" w:cs="Times New Roman"/>
          <w:sz w:val="24"/>
          <w:szCs w:val="24"/>
        </w:rPr>
        <w:t>, 00 zł netto;</w:t>
      </w:r>
    </w:p>
    <w:p w14:paraId="7FE1395C" w14:textId="0313ABD0" w:rsidR="00F0302A" w:rsidRPr="000B1656" w:rsidRDefault="00F0302A" w:rsidP="000B16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Zamawiający nie jest podmiotem, który obligatoryjnie musi poddać swoje roczne sprawozdanie finansowe badaniu przez biegłego rewidenta a co za tym idzie, nie dotyczy go wymóg określony w art. 66 ust. 5 ustawy o rachunkowości- by umowa o badanie ustawowe sprawozdań finansowych zawierana była </w:t>
      </w:r>
      <w:r w:rsidR="00100EE7" w:rsidRPr="000B1656">
        <w:rPr>
          <w:rFonts w:ascii="Times New Roman" w:hAnsi="Times New Roman" w:cs="Times New Roman"/>
          <w:sz w:val="24"/>
          <w:szCs w:val="24"/>
        </w:rPr>
        <w:t>z nową firmą audytorską na co najmniej dwuletni okres.</w:t>
      </w:r>
    </w:p>
    <w:p w14:paraId="036F244D" w14:textId="26A687E7" w:rsidR="00100EE7" w:rsidRPr="000B1656" w:rsidRDefault="00100EE7" w:rsidP="000B16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4A6E13" w14:textId="77777777" w:rsidR="001826AC" w:rsidRDefault="001826AC" w:rsidP="000B16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185062" w14:textId="298C8EAE" w:rsidR="00100EE7" w:rsidRDefault="000B1656" w:rsidP="000B16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68D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 PRZEPROWADZENIA BADAŃ SPRAWOZDAŃ FINANSOWYCH:</w:t>
      </w:r>
    </w:p>
    <w:p w14:paraId="3FA7F52F" w14:textId="77777777" w:rsidR="00AB04AA" w:rsidRPr="0075568D" w:rsidRDefault="00AB04AA" w:rsidP="000B16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911887" w14:textId="28E6D149" w:rsidR="00335F5E" w:rsidRPr="000B1656" w:rsidRDefault="00335F5E" w:rsidP="000B16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Osoby przeprowadzające badanie zobowiązane są do osobistego badania dokumentów stanowiących podstawę do sporządzenia sprawozdania finansowego w miejscu gdzie znajdują się dokumenty źródłowe.</w:t>
      </w:r>
    </w:p>
    <w:p w14:paraId="5FDE814C" w14:textId="1D3941B2" w:rsidR="00335F5E" w:rsidRPr="000B1656" w:rsidRDefault="00335F5E" w:rsidP="000B16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Kluczowy biegły rewident jest obowiązany do uczestni</w:t>
      </w:r>
      <w:r w:rsidR="00412BFC" w:rsidRPr="000B1656">
        <w:rPr>
          <w:rFonts w:ascii="Times New Roman" w:hAnsi="Times New Roman" w:cs="Times New Roman"/>
          <w:sz w:val="24"/>
          <w:szCs w:val="24"/>
        </w:rPr>
        <w:t xml:space="preserve">ctwa w inwentaryzacji rzeczywistego stanu majątku Spółki. </w:t>
      </w:r>
    </w:p>
    <w:p w14:paraId="3A22DBF8" w14:textId="77777777" w:rsidR="00AA05A8" w:rsidRPr="000B1656" w:rsidRDefault="00412BFC" w:rsidP="000B16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Kluczowy biegły rewident jest obowiązany </w:t>
      </w:r>
      <w:r w:rsidR="00AA05A8" w:rsidRPr="000B1656">
        <w:rPr>
          <w:rFonts w:ascii="Times New Roman" w:hAnsi="Times New Roman" w:cs="Times New Roman"/>
          <w:sz w:val="24"/>
          <w:szCs w:val="24"/>
        </w:rPr>
        <w:t>do uczestnictwa w posiedzeniu Rady Nadzorczej Spółki opiniującej roczne sprawozdanie finansowe Spółki za rok obrotowy 2023 w celu złożenia stosownych wyjaśnień i informacji w odpowiedzi na pytania członków Rady Nadzorczej. Koszty uczestnictwa w posiedzeniu Rady Nadzorczej ponosi firma audytorska.</w:t>
      </w:r>
    </w:p>
    <w:p w14:paraId="09965CF7" w14:textId="4D4B3901" w:rsidR="00412BFC" w:rsidRPr="000B1656" w:rsidRDefault="00AA05A8" w:rsidP="000B16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lastRenderedPageBreak/>
        <w:t xml:space="preserve">Kluczowy biegły rewident będzie obowiązany do przekazania do wiadomości Rady Nadzorczej sporządzonych dla </w:t>
      </w:r>
      <w:r w:rsidR="00F24179">
        <w:rPr>
          <w:rFonts w:ascii="Times New Roman" w:hAnsi="Times New Roman" w:cs="Times New Roman"/>
          <w:sz w:val="24"/>
          <w:szCs w:val="24"/>
        </w:rPr>
        <w:t>Z</w:t>
      </w:r>
      <w:r w:rsidRPr="000B1656">
        <w:rPr>
          <w:rFonts w:ascii="Times New Roman" w:hAnsi="Times New Roman" w:cs="Times New Roman"/>
          <w:sz w:val="24"/>
          <w:szCs w:val="24"/>
        </w:rPr>
        <w:t xml:space="preserve">arządu ( w formie tzw. listów  do </w:t>
      </w:r>
      <w:r w:rsidR="00540A7A" w:rsidRPr="000B1656">
        <w:rPr>
          <w:rFonts w:ascii="Times New Roman" w:hAnsi="Times New Roman" w:cs="Times New Roman"/>
          <w:sz w:val="24"/>
          <w:szCs w:val="24"/>
        </w:rPr>
        <w:t>Z</w:t>
      </w:r>
      <w:r w:rsidRPr="000B1656">
        <w:rPr>
          <w:rFonts w:ascii="Times New Roman" w:hAnsi="Times New Roman" w:cs="Times New Roman"/>
          <w:sz w:val="24"/>
          <w:szCs w:val="24"/>
        </w:rPr>
        <w:t>arządu</w:t>
      </w:r>
      <w:r w:rsidR="00540A7A" w:rsidRPr="000B1656">
        <w:rPr>
          <w:rFonts w:ascii="Times New Roman" w:hAnsi="Times New Roman" w:cs="Times New Roman"/>
          <w:sz w:val="24"/>
          <w:szCs w:val="24"/>
        </w:rPr>
        <w:t>) informacji o problemach w systemie rachunkowości Spółki.</w:t>
      </w:r>
    </w:p>
    <w:p w14:paraId="4004B6F4" w14:textId="161AE557" w:rsidR="00540A7A" w:rsidRPr="000B1656" w:rsidRDefault="00540A7A" w:rsidP="000B16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Kluczowy biegły rewident jest obowiąza</w:t>
      </w:r>
      <w:r w:rsidR="00E03F06" w:rsidRPr="000B1656">
        <w:rPr>
          <w:rFonts w:ascii="Times New Roman" w:hAnsi="Times New Roman" w:cs="Times New Roman"/>
          <w:sz w:val="24"/>
          <w:szCs w:val="24"/>
        </w:rPr>
        <w:t xml:space="preserve">ny do uczestnictwa w posiedzeniu Zgromadzenia Wspólników Spółki zatwierdzającego roczne sprawozdanie finansowe Spółki za rok obrotowy wskazany w pkt. 1 powyżej, w celu złożenia stosownych wyjaśnień i informacji w odpowiedzi na pytania Wspólników. Koszty uczestnictwa w posiedzeniu Zgromadzenia Wspólników ponosi firma audytorska. </w:t>
      </w:r>
    </w:p>
    <w:p w14:paraId="40BA919B" w14:textId="489F4A75" w:rsidR="008F333D" w:rsidRPr="000B1656" w:rsidRDefault="008F333D" w:rsidP="000B16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Kluczowy biegły rewident będzie obowiązany do przekazania do wiadomości Wspólników sporządzonych dla </w:t>
      </w:r>
      <w:r w:rsidR="00F24179">
        <w:rPr>
          <w:rFonts w:ascii="Times New Roman" w:hAnsi="Times New Roman" w:cs="Times New Roman"/>
          <w:sz w:val="24"/>
          <w:szCs w:val="24"/>
        </w:rPr>
        <w:t>Z</w:t>
      </w:r>
      <w:r w:rsidRPr="000B1656">
        <w:rPr>
          <w:rFonts w:ascii="Times New Roman" w:hAnsi="Times New Roman" w:cs="Times New Roman"/>
          <w:sz w:val="24"/>
          <w:szCs w:val="24"/>
        </w:rPr>
        <w:t xml:space="preserve">arządu (w formie tzw. </w:t>
      </w:r>
      <w:r w:rsidR="00643407">
        <w:rPr>
          <w:rFonts w:ascii="Times New Roman" w:hAnsi="Times New Roman" w:cs="Times New Roman"/>
          <w:sz w:val="24"/>
          <w:szCs w:val="24"/>
        </w:rPr>
        <w:t>l</w:t>
      </w:r>
      <w:r w:rsidRPr="000B1656">
        <w:rPr>
          <w:rFonts w:ascii="Times New Roman" w:hAnsi="Times New Roman" w:cs="Times New Roman"/>
          <w:sz w:val="24"/>
          <w:szCs w:val="24"/>
        </w:rPr>
        <w:t xml:space="preserve">istów do </w:t>
      </w:r>
      <w:r w:rsidR="00643407">
        <w:rPr>
          <w:rFonts w:ascii="Times New Roman" w:hAnsi="Times New Roman" w:cs="Times New Roman"/>
          <w:sz w:val="24"/>
          <w:szCs w:val="24"/>
        </w:rPr>
        <w:t>Z</w:t>
      </w:r>
      <w:r w:rsidRPr="000B1656">
        <w:rPr>
          <w:rFonts w:ascii="Times New Roman" w:hAnsi="Times New Roman" w:cs="Times New Roman"/>
          <w:sz w:val="24"/>
          <w:szCs w:val="24"/>
        </w:rPr>
        <w:t>arządu) informacji o problemach w systemie rachunkowości Spółki.</w:t>
      </w:r>
    </w:p>
    <w:p w14:paraId="1872DC6D" w14:textId="3A163C9C" w:rsidR="008F333D" w:rsidRPr="000B1656" w:rsidRDefault="008F333D" w:rsidP="000B16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Pełna płatność za przeprowadzone badania sprawozdania finansowego nastąpi po przyjęciu przez Zarząd sprawozdania z badania. (tj. raportu oraz opinii).</w:t>
      </w:r>
    </w:p>
    <w:p w14:paraId="0EA76843" w14:textId="77777777" w:rsidR="000B1656" w:rsidRPr="000B1656" w:rsidRDefault="000B1656" w:rsidP="000B16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C539B3" w14:textId="77777777" w:rsidR="001826AC" w:rsidRDefault="001826AC" w:rsidP="000B165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3EF523" w14:textId="77777777" w:rsidR="001826AC" w:rsidRDefault="001826AC" w:rsidP="000B165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425CCF" w14:textId="0DC50434" w:rsidR="008F333D" w:rsidRDefault="008F333D" w:rsidP="000B165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6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WARUNKI JAKIM W SZCZEGÓLNOŚCI POWINNA ODPOWIADAĆ OFERTA </w:t>
      </w:r>
      <w:r w:rsidR="00917A57" w:rsidRPr="0075568D">
        <w:rPr>
          <w:rFonts w:ascii="Times New Roman" w:hAnsi="Times New Roman" w:cs="Times New Roman"/>
          <w:b/>
          <w:bCs/>
          <w:sz w:val="24"/>
          <w:szCs w:val="24"/>
          <w:u w:val="single"/>
        </w:rPr>
        <w:t>FIRMY AUDYTORSKIEJ</w:t>
      </w:r>
      <w:r w:rsidR="000652F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B3F700A" w14:textId="77777777" w:rsidR="000652FB" w:rsidRPr="0075568D" w:rsidRDefault="000652FB" w:rsidP="000B165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D4F37" w14:textId="18DE1986" w:rsidR="00917A57" w:rsidRPr="000B1656" w:rsidRDefault="00917A57" w:rsidP="000B16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Informacje o firmie audytorskiej, w tym o formie prowadzenia działalności, wpisie na listę firm audytorskich ( art. 57 ust 1 ustawy o biegłych rewidentach), o liczbie zatrudnionych na umowę o pracę biegłych rewidentów oraz o składzie zespołu audytowego dedykowanego do badania Spółki.</w:t>
      </w:r>
    </w:p>
    <w:p w14:paraId="10358E92" w14:textId="24C551E2" w:rsidR="00917A57" w:rsidRPr="000B1656" w:rsidRDefault="00917A57" w:rsidP="000B16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Oświadczenia firmy audytorskiej o:</w:t>
      </w:r>
    </w:p>
    <w:p w14:paraId="647A69D1" w14:textId="01870666" w:rsidR="00917A57" w:rsidRPr="000B1656" w:rsidRDefault="000652FB" w:rsidP="000B165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17A57" w:rsidRPr="000B1656">
        <w:rPr>
          <w:rFonts w:ascii="Times New Roman" w:hAnsi="Times New Roman" w:cs="Times New Roman"/>
          <w:sz w:val="24"/>
          <w:szCs w:val="24"/>
        </w:rPr>
        <w:t xml:space="preserve">pełnieniu wymogów niezależnych, o których mowa w art. 69-73 ustawy o biegłych rewidentach oraz o nie istnieniu zagrożeń dla ich niezależności, a także zastosowaniu zabezpieczenia w celu </w:t>
      </w:r>
      <w:r w:rsidR="0093498E" w:rsidRPr="000B1656">
        <w:rPr>
          <w:rFonts w:ascii="Times New Roman" w:hAnsi="Times New Roman" w:cs="Times New Roman"/>
          <w:sz w:val="24"/>
          <w:szCs w:val="24"/>
        </w:rPr>
        <w:t>ich zminimalizowania;</w:t>
      </w:r>
    </w:p>
    <w:p w14:paraId="3B4D32A5" w14:textId="77032223" w:rsidR="0093498E" w:rsidRPr="000B1656" w:rsidRDefault="000652FB" w:rsidP="000B165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498E" w:rsidRPr="000B1656">
        <w:rPr>
          <w:rFonts w:ascii="Times New Roman" w:hAnsi="Times New Roman" w:cs="Times New Roman"/>
          <w:sz w:val="24"/>
          <w:szCs w:val="24"/>
        </w:rPr>
        <w:t>ysponowaniu kompetentnymi pracownikami, czasem i innymi zasobami umożliwiającymi odpowiednie przeprowadzenie badania.</w:t>
      </w:r>
    </w:p>
    <w:p w14:paraId="0836BDEA" w14:textId="3BFB6984" w:rsidR="0093498E" w:rsidRPr="000B1656" w:rsidRDefault="000652FB" w:rsidP="000B165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3498E" w:rsidRPr="000B1656">
        <w:rPr>
          <w:rFonts w:ascii="Times New Roman" w:hAnsi="Times New Roman" w:cs="Times New Roman"/>
          <w:sz w:val="24"/>
          <w:szCs w:val="24"/>
        </w:rPr>
        <w:t xml:space="preserve">yznaczenie jako kluczowego biegłego rewidenta osoby wpisanej do rejestru biegłych rewidentów i w związku z tym spełnieniu przez nią warunków określonych w art. 4 ust. 2-5 ustawy o biegłych rewidentach oraz opis jego doświadczenia zawodowego w tym branży budowlanej, badania sprawozdań finansowych </w:t>
      </w:r>
      <w:r w:rsidR="00A13BBD">
        <w:rPr>
          <w:rFonts w:ascii="Times New Roman" w:hAnsi="Times New Roman" w:cs="Times New Roman"/>
          <w:sz w:val="24"/>
          <w:szCs w:val="24"/>
        </w:rPr>
        <w:t>S</w:t>
      </w:r>
      <w:r w:rsidR="0093498E" w:rsidRPr="000B1656">
        <w:rPr>
          <w:rFonts w:ascii="Times New Roman" w:hAnsi="Times New Roman" w:cs="Times New Roman"/>
          <w:sz w:val="24"/>
          <w:szCs w:val="24"/>
        </w:rPr>
        <w:t xml:space="preserve">połecznych </w:t>
      </w:r>
      <w:r w:rsidR="00A13BBD">
        <w:rPr>
          <w:rFonts w:ascii="Times New Roman" w:hAnsi="Times New Roman" w:cs="Times New Roman"/>
          <w:sz w:val="24"/>
          <w:szCs w:val="24"/>
        </w:rPr>
        <w:t>I</w:t>
      </w:r>
      <w:r w:rsidR="0093498E" w:rsidRPr="000B1656">
        <w:rPr>
          <w:rFonts w:ascii="Times New Roman" w:hAnsi="Times New Roman" w:cs="Times New Roman"/>
          <w:sz w:val="24"/>
          <w:szCs w:val="24"/>
        </w:rPr>
        <w:t xml:space="preserve">nicjatyw </w:t>
      </w:r>
      <w:r w:rsidR="00A13BBD">
        <w:rPr>
          <w:rFonts w:ascii="Times New Roman" w:hAnsi="Times New Roman" w:cs="Times New Roman"/>
          <w:sz w:val="24"/>
          <w:szCs w:val="24"/>
        </w:rPr>
        <w:t>M</w:t>
      </w:r>
      <w:r w:rsidR="0093498E" w:rsidRPr="000B1656">
        <w:rPr>
          <w:rFonts w:ascii="Times New Roman" w:hAnsi="Times New Roman" w:cs="Times New Roman"/>
          <w:sz w:val="24"/>
          <w:szCs w:val="24"/>
        </w:rPr>
        <w:t>ieszkaniowych lub Towarzystw Budownictwa Społecznego.</w:t>
      </w:r>
    </w:p>
    <w:p w14:paraId="6DA88FCD" w14:textId="097F6193" w:rsidR="0093498E" w:rsidRPr="000B1656" w:rsidRDefault="0093498E" w:rsidP="000B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        3. Firma audytorska powinna wykazać (warunki udziału w postępowaniu):</w:t>
      </w:r>
    </w:p>
    <w:p w14:paraId="06834EC2" w14:textId="41F5B59D" w:rsidR="0093498E" w:rsidRPr="000B1656" w:rsidRDefault="008663D8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dysponowaniem, minimum dwoma biegłymi rewidentami, uprawnionymi do badania   sprawozdań  finansowych, wpisanymi do rejestru biegłych rewidentów, </w:t>
      </w:r>
      <w:r w:rsidR="000652FB">
        <w:rPr>
          <w:rFonts w:ascii="Times New Roman" w:hAnsi="Times New Roman" w:cs="Times New Roman"/>
          <w:sz w:val="24"/>
          <w:szCs w:val="24"/>
        </w:rPr>
        <w:br/>
      </w:r>
      <w:r w:rsidRPr="000B1656">
        <w:rPr>
          <w:rFonts w:ascii="Times New Roman" w:hAnsi="Times New Roman" w:cs="Times New Roman"/>
          <w:sz w:val="24"/>
          <w:szCs w:val="24"/>
        </w:rPr>
        <w:t>o którym mowa w ustawie z dnia 11 maja 2017 r. o biegłych rewidentach, firmach audytorskich oraz o nadzorze publicznym (tj. Dz. U. z 2020</w:t>
      </w:r>
      <w:r w:rsidR="00D63DD0" w:rsidRPr="000B1656">
        <w:rPr>
          <w:rFonts w:ascii="Times New Roman" w:hAnsi="Times New Roman" w:cs="Times New Roman"/>
          <w:sz w:val="24"/>
          <w:szCs w:val="24"/>
        </w:rPr>
        <w:t xml:space="preserve">r. poz. 1415, z późn. zm.), których skieruje do wykonania zamówienia. Wszystkie osoby mają spełniać wymogi określone w ustawie z dnia 11 maja 2017 r. o biegłych rewidentach, firmach audytorskich oraz nadzorze publicznym (tj. Dz. U. z 2020 r. poz. 1415, z późn. zm.) w tym w szczególności wymogi określone w art. 74 oraz 134 w/w/ ustawy. </w:t>
      </w:r>
    </w:p>
    <w:p w14:paraId="5DF3B471" w14:textId="1A0FCD39" w:rsidR="00D63DD0" w:rsidRPr="000B1656" w:rsidRDefault="00EE02B3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63DD0" w:rsidRPr="000B1656">
        <w:rPr>
          <w:rFonts w:ascii="Times New Roman" w:hAnsi="Times New Roman" w:cs="Times New Roman"/>
          <w:sz w:val="24"/>
          <w:szCs w:val="24"/>
        </w:rPr>
        <w:t xml:space="preserve">oświadczenie w należytym wykonaniu (lub w wykonaniu- w przypadku świadczeń powtarzających się lub ciągłych) w okresie ostatnich 3 lat, a jeżeli okres przeprowadzenia działalności jest krótszy- w tym okresie, co najmniej dwóch usług, </w:t>
      </w:r>
      <w:r w:rsidR="00D63DD0" w:rsidRPr="000B1656">
        <w:rPr>
          <w:rFonts w:ascii="Times New Roman" w:hAnsi="Times New Roman" w:cs="Times New Roman"/>
          <w:sz w:val="24"/>
          <w:szCs w:val="24"/>
        </w:rPr>
        <w:lastRenderedPageBreak/>
        <w:t xml:space="preserve">odpowiadających swoim rodzajem usłudze, stanowiącej przedmiot zamówienia tj. w oparciu o ustawę o ustawę o rachunkowości. </w:t>
      </w:r>
    </w:p>
    <w:p w14:paraId="5A2CD2A6" w14:textId="7043C879" w:rsidR="0075568D" w:rsidRPr="0075568D" w:rsidRDefault="00716E1A" w:rsidP="0075568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Okresy wyrażone w latach lub miesiącach, o których mowa powyżej, liczy się wstecz od dnia w którym upływa termin składania ofert w postępowaniu. </w:t>
      </w:r>
    </w:p>
    <w:p w14:paraId="3FDBBE5D" w14:textId="1B3DB21D" w:rsidR="00716E1A" w:rsidRPr="000B1656" w:rsidRDefault="00716E1A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Cenę za badanie sprawozdania finansowego oraz sporządzenie pisemnego sprawozdania za rok obrotowy 2023- przy czym wynagrodzenie za przeprowadzenie badania ma odzwierciedlać pracochłonność oraz stopień złożoności prac </w:t>
      </w:r>
      <w:r w:rsidR="0075568D">
        <w:rPr>
          <w:rFonts w:ascii="Times New Roman" w:hAnsi="Times New Roman" w:cs="Times New Roman"/>
          <w:sz w:val="24"/>
          <w:szCs w:val="24"/>
        </w:rPr>
        <w:br/>
      </w:r>
      <w:r w:rsidRPr="000B1656">
        <w:rPr>
          <w:rFonts w:ascii="Times New Roman" w:hAnsi="Times New Roman" w:cs="Times New Roman"/>
          <w:sz w:val="24"/>
          <w:szCs w:val="24"/>
        </w:rPr>
        <w:t xml:space="preserve">i kwalifikacje biegłych rewidentów wykonujących badanie, a nie powinno być uzależnione </w:t>
      </w:r>
      <w:r w:rsidR="009F1C81" w:rsidRPr="000B1656">
        <w:rPr>
          <w:rFonts w:ascii="Times New Roman" w:hAnsi="Times New Roman" w:cs="Times New Roman"/>
          <w:sz w:val="24"/>
          <w:szCs w:val="24"/>
        </w:rPr>
        <w:t xml:space="preserve">od żadnych warunków, w tym od wyniku badania oraz świadczenia innych usług na rzecz badanej jednostki. </w:t>
      </w:r>
    </w:p>
    <w:p w14:paraId="5F23E358" w14:textId="6F273F91" w:rsidR="009F1C81" w:rsidRPr="000B1656" w:rsidRDefault="009F1C81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Poświadczoną za zgodność z oryginałem przez osoby uprawnione do reprezentacji </w:t>
      </w:r>
      <w:r w:rsidR="000B1656" w:rsidRPr="000B1656">
        <w:rPr>
          <w:rFonts w:ascii="Times New Roman" w:hAnsi="Times New Roman" w:cs="Times New Roman"/>
          <w:sz w:val="24"/>
          <w:szCs w:val="24"/>
        </w:rPr>
        <w:t>oferenta</w:t>
      </w:r>
      <w:r w:rsidRPr="000B1656">
        <w:rPr>
          <w:rFonts w:ascii="Times New Roman" w:hAnsi="Times New Roman" w:cs="Times New Roman"/>
          <w:sz w:val="24"/>
          <w:szCs w:val="24"/>
        </w:rPr>
        <w:t xml:space="preserve"> kserokopię dokumentów potwierdzających posiadane przez firmę audytorską   ubezpieczenia od odpowiedzialności cywilnej, z tytułu wykonywania czynności rewizji finansowej i wysokość sumy ubezpieczenia. </w:t>
      </w:r>
    </w:p>
    <w:p w14:paraId="25259625" w14:textId="456E5A3A" w:rsidR="009F1C81" w:rsidRPr="000B1656" w:rsidRDefault="000652FB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wraz z ofertą składa projekt umowy. Zamawiający </w:t>
      </w:r>
      <w:r w:rsidR="00DB5C3F">
        <w:rPr>
          <w:rFonts w:ascii="Times New Roman" w:hAnsi="Times New Roman" w:cs="Times New Roman"/>
          <w:sz w:val="24"/>
          <w:szCs w:val="24"/>
        </w:rPr>
        <w:t>ma prawo do jej weryfikacji i ewentualnych zmian.</w:t>
      </w:r>
    </w:p>
    <w:p w14:paraId="155416AF" w14:textId="43A118CB" w:rsidR="009F1C81" w:rsidRPr="000B1656" w:rsidRDefault="009F1C81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Ofertę należy sporządzić w języku polskim.</w:t>
      </w:r>
    </w:p>
    <w:p w14:paraId="538FD4B8" w14:textId="6B40D274" w:rsidR="009F1C81" w:rsidRPr="000B1656" w:rsidRDefault="009F1C81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Ofertę składa się pod rygorem nieważności</w:t>
      </w:r>
      <w:r w:rsidR="00EE02B3">
        <w:rPr>
          <w:rFonts w:ascii="Times New Roman" w:hAnsi="Times New Roman" w:cs="Times New Roman"/>
          <w:sz w:val="24"/>
          <w:szCs w:val="24"/>
        </w:rPr>
        <w:t>,</w:t>
      </w:r>
      <w:r w:rsidRPr="000B1656">
        <w:rPr>
          <w:rFonts w:ascii="Times New Roman" w:hAnsi="Times New Roman" w:cs="Times New Roman"/>
          <w:sz w:val="24"/>
          <w:szCs w:val="24"/>
        </w:rPr>
        <w:t xml:space="preserve"> w formie pise</w:t>
      </w:r>
      <w:r w:rsidR="00E64136" w:rsidRPr="000B1656">
        <w:rPr>
          <w:rFonts w:ascii="Times New Roman" w:hAnsi="Times New Roman" w:cs="Times New Roman"/>
          <w:sz w:val="24"/>
          <w:szCs w:val="24"/>
        </w:rPr>
        <w:t>mnej.</w:t>
      </w:r>
    </w:p>
    <w:p w14:paraId="0E0F2001" w14:textId="2BC9D674" w:rsidR="00E64136" w:rsidRPr="000B1656" w:rsidRDefault="00E64136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Oferta może być złożona tylko do upływu terminu składania ofert.</w:t>
      </w:r>
    </w:p>
    <w:p w14:paraId="7F4D3087" w14:textId="61EA3D6A" w:rsidR="00E64136" w:rsidRPr="000B1656" w:rsidRDefault="00E64136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Oferta może zostać wycofana przed terminem otwarcia ofert.</w:t>
      </w:r>
    </w:p>
    <w:p w14:paraId="0E78F592" w14:textId="38B2CFA9" w:rsidR="00E64136" w:rsidRPr="000B1656" w:rsidRDefault="00E64136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Wykonawca po upływie terminu składania ofert nie może skutecznie dokonać zmiany ani wycofać złożonej oferty.</w:t>
      </w:r>
    </w:p>
    <w:p w14:paraId="17DE81C5" w14:textId="5B3ADF46" w:rsidR="00E64136" w:rsidRPr="000B1656" w:rsidRDefault="00E64136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Osobę uprawnioną do porozumiewania się z wykonawcami jest: Karina Hereda.</w:t>
      </w:r>
    </w:p>
    <w:p w14:paraId="4E03B709" w14:textId="316696CF" w:rsidR="00E64136" w:rsidRPr="000B1656" w:rsidRDefault="00E64136" w:rsidP="000B16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Termin związania ofertą upływa:</w:t>
      </w:r>
      <w:r w:rsidR="003976AE">
        <w:rPr>
          <w:rFonts w:ascii="Times New Roman" w:hAnsi="Times New Roman" w:cs="Times New Roman"/>
          <w:sz w:val="24"/>
          <w:szCs w:val="24"/>
        </w:rPr>
        <w:t xml:space="preserve"> 08.11.2024r. </w:t>
      </w:r>
    </w:p>
    <w:p w14:paraId="20A33945" w14:textId="77777777" w:rsidR="001826AC" w:rsidRDefault="001826AC" w:rsidP="000B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024DE" w14:textId="55F9FED2" w:rsidR="00C26753" w:rsidRPr="000B1656" w:rsidRDefault="00E64136" w:rsidP="000B1656">
      <w:p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Pisemne oferty należy przesłać na adres siedziby Spółki lub osobiście złożyć w sekretariacie Spółki w zamkniętych kopertach z dopiskiem: „ Bilans 2023- oferta”, </w:t>
      </w:r>
      <w:r w:rsidRPr="000B1656">
        <w:rPr>
          <w:rFonts w:ascii="Times New Roman" w:hAnsi="Times New Roman" w:cs="Times New Roman"/>
          <w:b/>
          <w:bCs/>
          <w:sz w:val="24"/>
          <w:szCs w:val="24"/>
        </w:rPr>
        <w:t>w terminie</w:t>
      </w:r>
      <w:r w:rsidR="003976AE">
        <w:rPr>
          <w:rFonts w:ascii="Times New Roman" w:hAnsi="Times New Roman" w:cs="Times New Roman"/>
          <w:sz w:val="24"/>
          <w:szCs w:val="24"/>
        </w:rPr>
        <w:t xml:space="preserve"> </w:t>
      </w:r>
      <w:r w:rsidRPr="000B165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B1656" w:rsidRPr="000B16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76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1656" w:rsidRPr="000B1656">
        <w:rPr>
          <w:rFonts w:ascii="Times New Roman" w:hAnsi="Times New Roman" w:cs="Times New Roman"/>
          <w:b/>
          <w:bCs/>
          <w:sz w:val="24"/>
          <w:szCs w:val="24"/>
        </w:rPr>
        <w:t>.09.2024</w:t>
      </w:r>
      <w:r w:rsidR="002D7DA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3976AE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0B1656">
        <w:rPr>
          <w:rFonts w:ascii="Times New Roman" w:hAnsi="Times New Roman" w:cs="Times New Roman"/>
          <w:sz w:val="24"/>
          <w:szCs w:val="24"/>
        </w:rPr>
        <w:t xml:space="preserve"> </w:t>
      </w:r>
      <w:r w:rsidRPr="000B1656">
        <w:rPr>
          <w:rFonts w:ascii="Times New Roman" w:hAnsi="Times New Roman" w:cs="Times New Roman"/>
          <w:sz w:val="24"/>
          <w:szCs w:val="24"/>
        </w:rPr>
        <w:t>godz.</w:t>
      </w:r>
      <w:r w:rsidR="000B1656">
        <w:rPr>
          <w:rFonts w:ascii="Times New Roman" w:hAnsi="Times New Roman" w:cs="Times New Roman"/>
          <w:sz w:val="24"/>
          <w:szCs w:val="24"/>
        </w:rPr>
        <w:t>15.00.</w:t>
      </w:r>
    </w:p>
    <w:p w14:paraId="4817F7FE" w14:textId="77777777" w:rsidR="001826AC" w:rsidRDefault="001826AC" w:rsidP="000B16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F3767" w14:textId="62433A14" w:rsidR="000B1656" w:rsidRPr="00C26753" w:rsidRDefault="00E64136" w:rsidP="000B16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753">
        <w:rPr>
          <w:rFonts w:ascii="Times New Roman" w:hAnsi="Times New Roman" w:cs="Times New Roman"/>
          <w:b/>
          <w:bCs/>
          <w:sz w:val="24"/>
          <w:szCs w:val="24"/>
        </w:rPr>
        <w:t xml:space="preserve">Kryteriami oceny ofert będą: </w:t>
      </w:r>
    </w:p>
    <w:tbl>
      <w:tblPr>
        <w:tblW w:w="8448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54"/>
        <w:gridCol w:w="1701"/>
        <w:gridCol w:w="2631"/>
      </w:tblGrid>
      <w:tr w:rsidR="00B15059" w:rsidRPr="00B15059" w14:paraId="3B51BE68" w14:textId="77777777" w:rsidTr="00B150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FA856" w14:textId="77777777" w:rsidR="001826AC" w:rsidRDefault="001826AC" w:rsidP="00B15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692B" w14:textId="3C08F584" w:rsidR="00B15059" w:rsidRPr="00B15059" w:rsidRDefault="00B15059" w:rsidP="0018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AD92B" w14:textId="77777777" w:rsidR="001826AC" w:rsidRDefault="001826AC" w:rsidP="00B15059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6699C" w14:textId="59A9CDD9" w:rsidR="00B15059" w:rsidRPr="001826AC" w:rsidRDefault="00B15059" w:rsidP="001826AC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E2C56" w14:textId="4848BD22" w:rsidR="00B15059" w:rsidRPr="001826AC" w:rsidRDefault="00B15059" w:rsidP="0018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Znaczenie procentowe </w:t>
            </w:r>
            <w:r w:rsidR="00182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182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ryterium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AE98" w14:textId="77777777" w:rsidR="00B15059" w:rsidRPr="001826AC" w:rsidRDefault="00B15059" w:rsidP="0018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ilość punktów jakie może otrzymać oferta</w:t>
            </w:r>
          </w:p>
        </w:tc>
      </w:tr>
      <w:tr w:rsidR="00B15059" w:rsidRPr="00B15059" w14:paraId="51D515AC" w14:textId="77777777" w:rsidTr="00B150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276AB" w14:textId="77777777" w:rsidR="00B15059" w:rsidRPr="00B15059" w:rsidRDefault="00B15059" w:rsidP="00B15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F649F" w14:textId="77777777" w:rsidR="00B15059" w:rsidRPr="00B15059" w:rsidRDefault="00B15059" w:rsidP="00B15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Cena ( C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4142F" w14:textId="051CD29E" w:rsidR="00B15059" w:rsidRPr="00B15059" w:rsidRDefault="00B15059" w:rsidP="0018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228B" w14:textId="070EE7FC" w:rsidR="00B15059" w:rsidRPr="00B15059" w:rsidRDefault="00B15059" w:rsidP="0018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  <w:tr w:rsidR="00B15059" w:rsidRPr="00B15059" w14:paraId="578BA3BA" w14:textId="77777777" w:rsidTr="00B150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D45E4" w14:textId="77777777" w:rsidR="00B15059" w:rsidRPr="00B15059" w:rsidRDefault="00B15059" w:rsidP="00B15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F36EF" w14:textId="5A360FCA" w:rsidR="00B15059" w:rsidRPr="00B15059" w:rsidRDefault="00B15059" w:rsidP="00B15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Doświadczenie (D)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B5973" w14:textId="55812E5B" w:rsidR="00B15059" w:rsidRPr="00B15059" w:rsidRDefault="00B15059" w:rsidP="0018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568A" w14:textId="60C97524" w:rsidR="00B15059" w:rsidRPr="00B15059" w:rsidRDefault="00B15059" w:rsidP="00182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0  punktów</w:t>
            </w:r>
          </w:p>
        </w:tc>
      </w:tr>
    </w:tbl>
    <w:p w14:paraId="7E013322" w14:textId="77777777" w:rsidR="00B15059" w:rsidRDefault="00B15059" w:rsidP="00B15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3D036" w14:textId="77777777" w:rsidR="001826AC" w:rsidRDefault="001826AC" w:rsidP="00B15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70874" w14:textId="77777777" w:rsidR="001826AC" w:rsidRDefault="001826AC" w:rsidP="00B15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4AD81" w14:textId="77777777" w:rsidR="001826AC" w:rsidRDefault="001826AC" w:rsidP="00B15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95E56" w14:textId="77777777" w:rsidR="001826AC" w:rsidRDefault="001826AC" w:rsidP="00B15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1E99F" w14:textId="0CC102E9" w:rsidR="00B15059" w:rsidRPr="00B15059" w:rsidRDefault="00B15059" w:rsidP="00B15059">
      <w:pPr>
        <w:jc w:val="both"/>
        <w:rPr>
          <w:rFonts w:ascii="Times New Roman" w:hAnsi="Times New Roman" w:cs="Times New Roman"/>
          <w:sz w:val="24"/>
          <w:szCs w:val="24"/>
        </w:rPr>
      </w:pPr>
      <w:r w:rsidRPr="00B15059">
        <w:rPr>
          <w:rFonts w:ascii="Times New Roman" w:hAnsi="Times New Roman" w:cs="Times New Roman"/>
          <w:sz w:val="24"/>
          <w:szCs w:val="24"/>
        </w:rPr>
        <w:lastRenderedPageBreak/>
        <w:t>W przypadku kryterium „Cena” oferta otrzyma zaokrągloną do dwóch miejsc po przecinku ilość punktów wynikającą z działania:</w:t>
      </w:r>
    </w:p>
    <w:tbl>
      <w:tblPr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</w:tblGrid>
      <w:tr w:rsidR="00B15059" w:rsidRPr="00B15059" w14:paraId="5BC77D50" w14:textId="77777777" w:rsidTr="00B15059">
        <w:tc>
          <w:tcPr>
            <w:tcW w:w="1276" w:type="dxa"/>
          </w:tcPr>
          <w:p w14:paraId="4FEBA308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DDA4E63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C min</w:t>
            </w:r>
          </w:p>
        </w:tc>
        <w:tc>
          <w:tcPr>
            <w:tcW w:w="1417" w:type="dxa"/>
          </w:tcPr>
          <w:p w14:paraId="5AFDF5B1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59" w:rsidRPr="00B15059" w14:paraId="18EC6BD5" w14:textId="77777777" w:rsidTr="00B15059">
        <w:tc>
          <w:tcPr>
            <w:tcW w:w="1276" w:type="dxa"/>
            <w:hideMark/>
          </w:tcPr>
          <w:p w14:paraId="0F1F4320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Pi (C)  =</w:t>
            </w:r>
          </w:p>
        </w:tc>
        <w:tc>
          <w:tcPr>
            <w:tcW w:w="1276" w:type="dxa"/>
            <w:hideMark/>
          </w:tcPr>
          <w:p w14:paraId="3D5EED07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 xml:space="preserve">------------- </w:t>
            </w:r>
          </w:p>
        </w:tc>
        <w:tc>
          <w:tcPr>
            <w:tcW w:w="1417" w:type="dxa"/>
            <w:hideMark/>
          </w:tcPr>
          <w:p w14:paraId="7DB80D8A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 xml:space="preserve">   Max (C)</w:t>
            </w:r>
          </w:p>
        </w:tc>
      </w:tr>
      <w:tr w:rsidR="00B15059" w:rsidRPr="00B15059" w14:paraId="4DA71040" w14:textId="77777777" w:rsidTr="00B15059">
        <w:tc>
          <w:tcPr>
            <w:tcW w:w="1276" w:type="dxa"/>
          </w:tcPr>
          <w:p w14:paraId="40F1983B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F69DEB6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C i</w:t>
            </w:r>
          </w:p>
        </w:tc>
        <w:tc>
          <w:tcPr>
            <w:tcW w:w="1417" w:type="dxa"/>
          </w:tcPr>
          <w:p w14:paraId="6B91A656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74D61" w14:textId="0F13ABEC" w:rsidR="00B15059" w:rsidRPr="00B15059" w:rsidRDefault="00B15059" w:rsidP="00B15059">
      <w:pPr>
        <w:jc w:val="both"/>
        <w:rPr>
          <w:rFonts w:ascii="Times New Roman" w:hAnsi="Times New Roman" w:cs="Times New Roman"/>
          <w:sz w:val="24"/>
          <w:szCs w:val="24"/>
        </w:rPr>
      </w:pPr>
      <w:r w:rsidRPr="00B15059">
        <w:rPr>
          <w:rFonts w:ascii="Times New Roman" w:hAnsi="Times New Roman" w:cs="Times New Roman"/>
          <w:sz w:val="24"/>
          <w:szCs w:val="24"/>
        </w:rPr>
        <w:t xml:space="preserve">                 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533"/>
      </w:tblGrid>
      <w:tr w:rsidR="00B15059" w:rsidRPr="00B15059" w14:paraId="4DFAABFD" w14:textId="77777777" w:rsidTr="00B150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97900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Pi(C)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DA4D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ilość punktów jakie otrzyma oferta „i" za kryterium "Cena"</w:t>
            </w:r>
          </w:p>
        </w:tc>
      </w:tr>
      <w:tr w:rsidR="00B15059" w:rsidRPr="00B15059" w14:paraId="2BC964AF" w14:textId="77777777" w:rsidTr="00B150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4F7F5" w14:textId="4766B16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D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2CD2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najniższa cena spośród wszystkich ważnych i nieodrzuconych ofert</w:t>
            </w:r>
          </w:p>
        </w:tc>
      </w:tr>
      <w:tr w:rsidR="00B15059" w:rsidRPr="00B15059" w14:paraId="4812D747" w14:textId="77777777" w:rsidTr="00B150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852BB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C i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C2DF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cena oferty „i" – zgodnie z Formularzem ofertowym</w:t>
            </w:r>
          </w:p>
        </w:tc>
      </w:tr>
      <w:tr w:rsidR="00B15059" w:rsidRPr="00B15059" w14:paraId="0AC7D1DB" w14:textId="77777777" w:rsidTr="00B150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998C9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Max (C)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1043" w14:textId="77777777" w:rsidR="00B15059" w:rsidRPr="00B15059" w:rsidRDefault="00B15059" w:rsidP="00B1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</w:rPr>
              <w:t>maksymalna ilość punktów jakie może otrzymać oferta za kryterium „Cena".</w:t>
            </w:r>
          </w:p>
        </w:tc>
      </w:tr>
    </w:tbl>
    <w:p w14:paraId="38D62CC2" w14:textId="6DD4F8CE" w:rsidR="0075568D" w:rsidRDefault="0075568D" w:rsidP="007556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7D3D2" w14:textId="49B09A27" w:rsidR="00590C18" w:rsidRPr="00590C18" w:rsidRDefault="00590C18" w:rsidP="00590C18">
      <w:pPr>
        <w:jc w:val="both"/>
        <w:rPr>
          <w:rFonts w:ascii="Times New Roman" w:hAnsi="Times New Roman" w:cs="Times New Roman"/>
          <w:sz w:val="24"/>
          <w:szCs w:val="24"/>
        </w:rPr>
      </w:pPr>
      <w:r w:rsidRPr="00590C18">
        <w:rPr>
          <w:rFonts w:ascii="Times New Roman" w:hAnsi="Times New Roman" w:cs="Times New Roman"/>
          <w:sz w:val="24"/>
          <w:szCs w:val="24"/>
        </w:rPr>
        <w:t xml:space="preserve">Zamawiający przyzna Wykonawcy maksymalnie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90C18">
        <w:rPr>
          <w:rFonts w:ascii="Times New Roman" w:hAnsi="Times New Roman" w:cs="Times New Roman"/>
          <w:sz w:val="24"/>
          <w:szCs w:val="24"/>
        </w:rPr>
        <w:t>0 pkt</w:t>
      </w:r>
      <w:r w:rsidR="002D7DAE">
        <w:rPr>
          <w:rFonts w:ascii="Times New Roman" w:hAnsi="Times New Roman" w:cs="Times New Roman"/>
          <w:sz w:val="24"/>
          <w:szCs w:val="24"/>
        </w:rPr>
        <w:t>.</w:t>
      </w:r>
      <w:r w:rsidRPr="00590C18">
        <w:rPr>
          <w:rFonts w:ascii="Times New Roman" w:hAnsi="Times New Roman" w:cs="Times New Roman"/>
          <w:sz w:val="24"/>
          <w:szCs w:val="24"/>
        </w:rPr>
        <w:t xml:space="preserve"> w kryterium Cena. Ocena punktowa będzie wyrażona liczbą zaokrągloną do dwóch miejsc po przecinku.</w:t>
      </w:r>
    </w:p>
    <w:p w14:paraId="0BDA34E8" w14:textId="77777777" w:rsidR="00590C18" w:rsidRDefault="00590C18" w:rsidP="007556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0C5EE" w14:textId="53CE51B0" w:rsidR="00447AA3" w:rsidRDefault="00447AA3" w:rsidP="0075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punktowa w ramach </w:t>
      </w:r>
      <w:r w:rsidR="00277B93">
        <w:rPr>
          <w:rFonts w:ascii="Times New Roman" w:hAnsi="Times New Roman" w:cs="Times New Roman"/>
          <w:sz w:val="24"/>
          <w:szCs w:val="24"/>
        </w:rPr>
        <w:t xml:space="preserve">kryterium </w:t>
      </w:r>
      <w:r w:rsidR="00023228">
        <w:rPr>
          <w:rFonts w:ascii="Times New Roman" w:hAnsi="Times New Roman" w:cs="Times New Roman"/>
          <w:sz w:val="24"/>
          <w:szCs w:val="24"/>
        </w:rPr>
        <w:t xml:space="preserve">dot. doświadczenia </w:t>
      </w:r>
      <w:r w:rsidR="00277B93">
        <w:rPr>
          <w:rFonts w:ascii="Times New Roman" w:hAnsi="Times New Roman" w:cs="Times New Roman"/>
          <w:sz w:val="24"/>
          <w:szCs w:val="24"/>
        </w:rPr>
        <w:t>zostanie dokonana w następujący sposób:</w:t>
      </w:r>
    </w:p>
    <w:p w14:paraId="605963D4" w14:textId="1716ACED" w:rsidR="00277B93" w:rsidRDefault="00277B93" w:rsidP="00277B9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wskazanie </w:t>
      </w:r>
      <w:r w:rsidR="00B15059">
        <w:rPr>
          <w:rFonts w:ascii="Times New Roman" w:hAnsi="Times New Roman" w:cs="Times New Roman"/>
          <w:sz w:val="24"/>
          <w:szCs w:val="24"/>
        </w:rPr>
        <w:t>1 dodatkowego poza warunkami udziału w postępowaniu doświadczenia wykonania</w:t>
      </w:r>
      <w:r w:rsidR="00B15059" w:rsidRPr="00B15059">
        <w:rPr>
          <w:rFonts w:ascii="Times New Roman" w:hAnsi="Times New Roman" w:cs="Times New Roman"/>
          <w:sz w:val="24"/>
          <w:szCs w:val="24"/>
        </w:rPr>
        <w:t xml:space="preserve"> </w:t>
      </w:r>
      <w:r w:rsidR="00B15059" w:rsidRPr="000B1656">
        <w:rPr>
          <w:rFonts w:ascii="Times New Roman" w:hAnsi="Times New Roman" w:cs="Times New Roman"/>
          <w:sz w:val="24"/>
          <w:szCs w:val="24"/>
        </w:rPr>
        <w:t>usług</w:t>
      </w:r>
      <w:r w:rsidR="00B15059">
        <w:rPr>
          <w:rFonts w:ascii="Times New Roman" w:hAnsi="Times New Roman" w:cs="Times New Roman"/>
          <w:sz w:val="24"/>
          <w:szCs w:val="24"/>
        </w:rPr>
        <w:t>i</w:t>
      </w:r>
      <w:r w:rsidR="00B15059" w:rsidRPr="000B1656">
        <w:rPr>
          <w:rFonts w:ascii="Times New Roman" w:hAnsi="Times New Roman" w:cs="Times New Roman"/>
          <w:sz w:val="24"/>
          <w:szCs w:val="24"/>
        </w:rPr>
        <w:t>, odpowiadając</w:t>
      </w:r>
      <w:r w:rsidR="00B15059">
        <w:rPr>
          <w:rFonts w:ascii="Times New Roman" w:hAnsi="Times New Roman" w:cs="Times New Roman"/>
          <w:sz w:val="24"/>
          <w:szCs w:val="24"/>
        </w:rPr>
        <w:t>ej</w:t>
      </w:r>
      <w:r w:rsidR="00B15059" w:rsidRPr="000B1656">
        <w:rPr>
          <w:rFonts w:ascii="Times New Roman" w:hAnsi="Times New Roman" w:cs="Times New Roman"/>
          <w:sz w:val="24"/>
          <w:szCs w:val="24"/>
        </w:rPr>
        <w:t xml:space="preserve"> swoim rodzajem usłudze, stanowiącej przedmiot zamówienia</w:t>
      </w:r>
      <w:r w:rsidR="00B15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5059">
        <w:rPr>
          <w:rFonts w:ascii="Times New Roman" w:hAnsi="Times New Roman" w:cs="Times New Roman"/>
          <w:sz w:val="24"/>
          <w:szCs w:val="24"/>
        </w:rPr>
        <w:t>5 punktów</w:t>
      </w:r>
      <w:r w:rsidR="002D7DAE">
        <w:rPr>
          <w:rFonts w:ascii="Times New Roman" w:hAnsi="Times New Roman" w:cs="Times New Roman"/>
          <w:sz w:val="24"/>
          <w:szCs w:val="24"/>
        </w:rPr>
        <w:t>,</w:t>
      </w:r>
    </w:p>
    <w:p w14:paraId="0BD8A222" w14:textId="5BF4C302" w:rsidR="00B15059" w:rsidRDefault="00B15059" w:rsidP="00B1505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wskazanie 2 i kolejnego dodatkowego poza warunkami udziału w postępowaniu doświadczenia wykonania</w:t>
      </w:r>
      <w:r w:rsidRPr="00B15059">
        <w:rPr>
          <w:rFonts w:ascii="Times New Roman" w:hAnsi="Times New Roman" w:cs="Times New Roman"/>
          <w:sz w:val="24"/>
          <w:szCs w:val="24"/>
        </w:rPr>
        <w:t xml:space="preserve"> </w:t>
      </w:r>
      <w:r w:rsidRPr="000B1656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B1656">
        <w:rPr>
          <w:rFonts w:ascii="Times New Roman" w:hAnsi="Times New Roman" w:cs="Times New Roman"/>
          <w:sz w:val="24"/>
          <w:szCs w:val="24"/>
        </w:rPr>
        <w:t>, odpowiadając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B1656">
        <w:rPr>
          <w:rFonts w:ascii="Times New Roman" w:hAnsi="Times New Roman" w:cs="Times New Roman"/>
          <w:sz w:val="24"/>
          <w:szCs w:val="24"/>
        </w:rPr>
        <w:t xml:space="preserve"> swoim rodzajem usłudze, stanowiącej przedmiot zamówienia</w:t>
      </w:r>
      <w:r>
        <w:rPr>
          <w:rFonts w:ascii="Times New Roman" w:hAnsi="Times New Roman" w:cs="Times New Roman"/>
          <w:sz w:val="24"/>
          <w:szCs w:val="24"/>
        </w:rPr>
        <w:t xml:space="preserve"> : 10 punktów</w:t>
      </w:r>
      <w:r w:rsidR="002D7DAE">
        <w:rPr>
          <w:rFonts w:ascii="Times New Roman" w:hAnsi="Times New Roman" w:cs="Times New Roman"/>
          <w:sz w:val="24"/>
          <w:szCs w:val="24"/>
        </w:rPr>
        <w:t>.</w:t>
      </w:r>
    </w:p>
    <w:p w14:paraId="22F68F04" w14:textId="7E38A25F" w:rsidR="00B15059" w:rsidRPr="00B15059" w:rsidRDefault="00B15059" w:rsidP="00B1505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postaci wykonania usługi oferent</w:t>
      </w:r>
      <w:r w:rsidR="007A0A31">
        <w:rPr>
          <w:rFonts w:ascii="Times New Roman" w:hAnsi="Times New Roman" w:cs="Times New Roman"/>
          <w:sz w:val="24"/>
          <w:szCs w:val="24"/>
        </w:rPr>
        <w:t xml:space="preserve"> przedstawia w formie referencji bądź oświadczenia.</w:t>
      </w:r>
    </w:p>
    <w:p w14:paraId="447F8CA2" w14:textId="77777777" w:rsidR="001826AC" w:rsidRDefault="001826AC" w:rsidP="000B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D4F45" w14:textId="57EA056F" w:rsidR="00E64136" w:rsidRPr="000B1656" w:rsidRDefault="00E64136" w:rsidP="000B1656">
      <w:p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Otwarcie ofert, ich ocena oraz wybór firmy audytorskiej zostanie dokonany przez Radę Nadzorczą  do dnia</w:t>
      </w:r>
      <w:r w:rsidR="003976AE">
        <w:rPr>
          <w:rFonts w:ascii="Times New Roman" w:hAnsi="Times New Roman" w:cs="Times New Roman"/>
          <w:sz w:val="24"/>
          <w:szCs w:val="24"/>
        </w:rPr>
        <w:t xml:space="preserve"> 31.10.2024 r. </w:t>
      </w:r>
      <w:r w:rsidRPr="000B1656">
        <w:rPr>
          <w:rFonts w:ascii="Times New Roman" w:hAnsi="Times New Roman" w:cs="Times New Roman"/>
          <w:sz w:val="24"/>
          <w:szCs w:val="24"/>
        </w:rPr>
        <w:t>w siedzibie właściciela Spółki- SIM Opolskie Sp. z</w:t>
      </w:r>
      <w:r w:rsidR="002F0C58" w:rsidRPr="000B1656">
        <w:rPr>
          <w:rFonts w:ascii="Times New Roman" w:hAnsi="Times New Roman" w:cs="Times New Roman"/>
          <w:sz w:val="24"/>
          <w:szCs w:val="24"/>
        </w:rPr>
        <w:t xml:space="preserve"> </w:t>
      </w:r>
      <w:r w:rsidRPr="000B1656">
        <w:rPr>
          <w:rFonts w:ascii="Times New Roman" w:hAnsi="Times New Roman" w:cs="Times New Roman"/>
          <w:sz w:val="24"/>
          <w:szCs w:val="24"/>
        </w:rPr>
        <w:t xml:space="preserve">o.o. </w:t>
      </w:r>
      <w:r w:rsidR="002D7DAE">
        <w:rPr>
          <w:rFonts w:ascii="Times New Roman" w:hAnsi="Times New Roman" w:cs="Times New Roman"/>
          <w:sz w:val="24"/>
          <w:szCs w:val="24"/>
        </w:rPr>
        <w:br/>
      </w:r>
      <w:r w:rsidRPr="000B1656">
        <w:rPr>
          <w:rFonts w:ascii="Times New Roman" w:hAnsi="Times New Roman" w:cs="Times New Roman"/>
          <w:sz w:val="24"/>
          <w:szCs w:val="24"/>
        </w:rPr>
        <w:t>z siedzibą w Nysie, ul. Rynek 40.</w:t>
      </w:r>
    </w:p>
    <w:p w14:paraId="5F1C3856" w14:textId="547EFDF8" w:rsidR="00E64136" w:rsidRDefault="00E64136" w:rsidP="000B1656">
      <w:p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Oferty niespełniające</w:t>
      </w:r>
      <w:r w:rsidR="002F0C58" w:rsidRPr="000B1656">
        <w:rPr>
          <w:rFonts w:ascii="Times New Roman" w:hAnsi="Times New Roman" w:cs="Times New Roman"/>
          <w:sz w:val="24"/>
          <w:szCs w:val="24"/>
        </w:rPr>
        <w:t xml:space="preserve"> powyższych wymagań lub złożone po upływie terminu ich przyjmowania nie podlegają rozpatrzeniu. Rada Nadzorcza Spółki zastrzega sobie prawo swobodnego wyboru oferty oraz odstąpienia od wyboru oferty bez podania przyczyny i ponoszenia jakichkolwiek skutków prawnych i finansowych.</w:t>
      </w:r>
    </w:p>
    <w:p w14:paraId="1B33EA7F" w14:textId="77777777" w:rsidR="003976AE" w:rsidRPr="000B1656" w:rsidRDefault="003976AE" w:rsidP="000B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AD924" w14:textId="77777777" w:rsidR="001826AC" w:rsidRDefault="001826AC" w:rsidP="00C2675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3BB80F" w14:textId="77777777" w:rsidR="001826AC" w:rsidRDefault="001826AC" w:rsidP="00C2675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E5BCE0" w14:textId="44290F46" w:rsidR="005A44EB" w:rsidRPr="00C26753" w:rsidRDefault="002F0C58" w:rsidP="002D7DA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68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Zamawiający zastrzega sobie prawo zakończenia postępowania bez wyboru oferty, bez podania przyczyny i bez ponoszenia skutków prawnych i finansowych jak również odrzucenia ofert, które nie będą zawierały dokumentów potwierdzających spełnienie warunków udziału w postępowaniu.</w:t>
      </w:r>
    </w:p>
    <w:p w14:paraId="4EB2B217" w14:textId="77777777" w:rsidR="00B81255" w:rsidRDefault="00B81255" w:rsidP="000B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272A6" w14:textId="0B762694" w:rsidR="002F0C58" w:rsidRPr="000B1656" w:rsidRDefault="002F0C58" w:rsidP="000B1656">
      <w:p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>Wybór oferty dokonuje Rada Nadzorcza Spółki na posiedzeniu.</w:t>
      </w:r>
    </w:p>
    <w:p w14:paraId="5A723BC1" w14:textId="723765AA" w:rsidR="002F0C58" w:rsidRPr="000B1656" w:rsidRDefault="002F0C58" w:rsidP="000B1656">
      <w:pPr>
        <w:jc w:val="both"/>
        <w:rPr>
          <w:rFonts w:ascii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  <w:sz w:val="24"/>
          <w:szCs w:val="24"/>
        </w:rPr>
        <w:t xml:space="preserve">O wyniku przeprowadzonego postępowania oferenci zostaną powiadomieni drogą elektroniczną. </w:t>
      </w:r>
    </w:p>
    <w:p w14:paraId="17CD039C" w14:textId="2A507A6C" w:rsidR="002F0C58" w:rsidRPr="00C26753" w:rsidRDefault="002F0C58" w:rsidP="000B16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753">
        <w:rPr>
          <w:rFonts w:ascii="Times New Roman" w:hAnsi="Times New Roman" w:cs="Times New Roman"/>
          <w:sz w:val="24"/>
          <w:szCs w:val="24"/>
          <w:u w:val="single"/>
        </w:rPr>
        <w:t xml:space="preserve">Dodatkowe informacje można uzyskać pod nr tel. : </w:t>
      </w:r>
      <w:r w:rsidRPr="00C26753">
        <w:rPr>
          <w:rFonts w:ascii="Times New Roman" w:hAnsi="Times New Roman" w:cs="Times New Roman"/>
          <w:color w:val="000000"/>
          <w:sz w:val="24"/>
          <w:szCs w:val="24"/>
          <w:u w:val="single"/>
        </w:rPr>
        <w:t>668 886 060</w:t>
      </w:r>
    </w:p>
    <w:p w14:paraId="05A245B4" w14:textId="77777777" w:rsidR="002F0C58" w:rsidRPr="00C26753" w:rsidRDefault="002F0C58" w:rsidP="000B16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D03C22" w14:textId="77777777" w:rsidR="00E64136" w:rsidRPr="000B1656" w:rsidRDefault="00E64136" w:rsidP="000B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27950" w14:textId="77777777" w:rsidR="0093498E" w:rsidRPr="000B1656" w:rsidRDefault="0093498E" w:rsidP="000B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7A91D" w14:textId="3D756816" w:rsidR="0093498E" w:rsidRPr="000B1656" w:rsidRDefault="0093498E" w:rsidP="000B165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D93D08" w14:textId="77777777" w:rsidR="0093498E" w:rsidRPr="000B1656" w:rsidRDefault="0093498E" w:rsidP="000B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1F3BD" w14:textId="77777777" w:rsidR="0093498E" w:rsidRPr="000B1656" w:rsidRDefault="0093498E" w:rsidP="000B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C2DF3" w14:textId="77777777" w:rsidR="00917A57" w:rsidRPr="000B1656" w:rsidRDefault="00917A57" w:rsidP="000B16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FCA0CA" w14:textId="2488A5E9" w:rsidR="00AA05A8" w:rsidRPr="000B1656" w:rsidRDefault="00AA05A8" w:rsidP="000B165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05A8" w:rsidRPr="000B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AE2D" w14:textId="77777777" w:rsidR="002D1098" w:rsidRDefault="002D1098" w:rsidP="008F333D">
      <w:pPr>
        <w:spacing w:after="0" w:line="240" w:lineRule="auto"/>
      </w:pPr>
      <w:r>
        <w:separator/>
      </w:r>
    </w:p>
  </w:endnote>
  <w:endnote w:type="continuationSeparator" w:id="0">
    <w:p w14:paraId="1C6272A6" w14:textId="77777777" w:rsidR="002D1098" w:rsidRDefault="002D1098" w:rsidP="008F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6685" w14:textId="77777777" w:rsidR="002D1098" w:rsidRDefault="002D1098" w:rsidP="008F333D">
      <w:pPr>
        <w:spacing w:after="0" w:line="240" w:lineRule="auto"/>
      </w:pPr>
      <w:r>
        <w:separator/>
      </w:r>
    </w:p>
  </w:footnote>
  <w:footnote w:type="continuationSeparator" w:id="0">
    <w:p w14:paraId="55830B9E" w14:textId="77777777" w:rsidR="002D1098" w:rsidRDefault="002D1098" w:rsidP="008F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6CFF"/>
    <w:multiLevelType w:val="hybridMultilevel"/>
    <w:tmpl w:val="F230BB02"/>
    <w:lvl w:ilvl="0" w:tplc="DCA68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C560F"/>
    <w:multiLevelType w:val="hybridMultilevel"/>
    <w:tmpl w:val="514C6B10"/>
    <w:lvl w:ilvl="0" w:tplc="A44C8F4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A0A02"/>
    <w:multiLevelType w:val="hybridMultilevel"/>
    <w:tmpl w:val="4954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589D"/>
    <w:multiLevelType w:val="multilevel"/>
    <w:tmpl w:val="F230BB02"/>
    <w:styleLink w:val="Biecalista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70C17"/>
    <w:multiLevelType w:val="hybridMultilevel"/>
    <w:tmpl w:val="F6D2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11D6"/>
    <w:multiLevelType w:val="hybridMultilevel"/>
    <w:tmpl w:val="CC14CDDA"/>
    <w:lvl w:ilvl="0" w:tplc="218C4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A704A"/>
    <w:multiLevelType w:val="hybridMultilevel"/>
    <w:tmpl w:val="BF6C2EB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1BAD"/>
    <w:multiLevelType w:val="hybridMultilevel"/>
    <w:tmpl w:val="0D9E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6448">
    <w:abstractNumId w:val="5"/>
  </w:num>
  <w:num w:numId="2" w16cid:durableId="1391533861">
    <w:abstractNumId w:val="7"/>
  </w:num>
  <w:num w:numId="3" w16cid:durableId="1275945522">
    <w:abstractNumId w:val="6"/>
  </w:num>
  <w:num w:numId="4" w16cid:durableId="840387921">
    <w:abstractNumId w:val="0"/>
  </w:num>
  <w:num w:numId="5" w16cid:durableId="1582760473">
    <w:abstractNumId w:val="1"/>
  </w:num>
  <w:num w:numId="6" w16cid:durableId="1348869273">
    <w:abstractNumId w:val="3"/>
  </w:num>
  <w:num w:numId="7" w16cid:durableId="223226897">
    <w:abstractNumId w:val="4"/>
  </w:num>
  <w:num w:numId="8" w16cid:durableId="30050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83"/>
    <w:rsid w:val="00023228"/>
    <w:rsid w:val="00047188"/>
    <w:rsid w:val="000652FB"/>
    <w:rsid w:val="000A6981"/>
    <w:rsid w:val="000B1656"/>
    <w:rsid w:val="00100EE7"/>
    <w:rsid w:val="001054C6"/>
    <w:rsid w:val="001826AC"/>
    <w:rsid w:val="002001A3"/>
    <w:rsid w:val="00277B93"/>
    <w:rsid w:val="002869F1"/>
    <w:rsid w:val="00294ACB"/>
    <w:rsid w:val="002D1098"/>
    <w:rsid w:val="002D7DAE"/>
    <w:rsid w:val="002F0C58"/>
    <w:rsid w:val="00335F5E"/>
    <w:rsid w:val="003976AE"/>
    <w:rsid w:val="00412BFC"/>
    <w:rsid w:val="00447AA3"/>
    <w:rsid w:val="004C5305"/>
    <w:rsid w:val="00540A7A"/>
    <w:rsid w:val="00586DBD"/>
    <w:rsid w:val="00590C18"/>
    <w:rsid w:val="005A44EB"/>
    <w:rsid w:val="005C2764"/>
    <w:rsid w:val="005D14BB"/>
    <w:rsid w:val="005E5D9C"/>
    <w:rsid w:val="00643407"/>
    <w:rsid w:val="006964F2"/>
    <w:rsid w:val="006B5E86"/>
    <w:rsid w:val="006F53EB"/>
    <w:rsid w:val="00715BE8"/>
    <w:rsid w:val="00716E1A"/>
    <w:rsid w:val="0075568D"/>
    <w:rsid w:val="00767653"/>
    <w:rsid w:val="007A0A31"/>
    <w:rsid w:val="008663D8"/>
    <w:rsid w:val="00867D83"/>
    <w:rsid w:val="008E4767"/>
    <w:rsid w:val="008F333D"/>
    <w:rsid w:val="00917A57"/>
    <w:rsid w:val="0093498E"/>
    <w:rsid w:val="0095270C"/>
    <w:rsid w:val="009F1C81"/>
    <w:rsid w:val="00A13BBD"/>
    <w:rsid w:val="00A30422"/>
    <w:rsid w:val="00A97FA6"/>
    <w:rsid w:val="00AA05A8"/>
    <w:rsid w:val="00AB04AA"/>
    <w:rsid w:val="00B15059"/>
    <w:rsid w:val="00B81255"/>
    <w:rsid w:val="00BD0868"/>
    <w:rsid w:val="00BF0CD4"/>
    <w:rsid w:val="00C26753"/>
    <w:rsid w:val="00C43E6E"/>
    <w:rsid w:val="00C5267D"/>
    <w:rsid w:val="00D63DD0"/>
    <w:rsid w:val="00DB5C3F"/>
    <w:rsid w:val="00E03F06"/>
    <w:rsid w:val="00E21BF5"/>
    <w:rsid w:val="00E64136"/>
    <w:rsid w:val="00EC78BF"/>
    <w:rsid w:val="00EE02B3"/>
    <w:rsid w:val="00F0302A"/>
    <w:rsid w:val="00F24179"/>
    <w:rsid w:val="00F42344"/>
    <w:rsid w:val="00F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B2C4"/>
  <w15:chartTrackingRefBased/>
  <w15:docId w15:val="{A8AE23F9-8440-40CB-B5C0-A476832F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0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3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3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33D"/>
    <w:rPr>
      <w:vertAlign w:val="superscript"/>
    </w:rPr>
  </w:style>
  <w:style w:type="numbering" w:customStyle="1" w:styleId="Biecalista1">
    <w:name w:val="Bieżąca lista1"/>
    <w:uiPriority w:val="99"/>
    <w:rsid w:val="009F1C81"/>
    <w:pPr>
      <w:numPr>
        <w:numId w:val="6"/>
      </w:numPr>
    </w:pPr>
  </w:style>
  <w:style w:type="table" w:styleId="Tabela-Siatka">
    <w:name w:val="Table Grid"/>
    <w:basedOn w:val="Standardowy"/>
    <w:uiPriority w:val="39"/>
    <w:rsid w:val="00C2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OPOLSKIE</dc:creator>
  <cp:keywords/>
  <dc:description/>
  <cp:lastModifiedBy>SIM OPOLSKIE</cp:lastModifiedBy>
  <cp:revision>2</cp:revision>
  <cp:lastPrinted>2024-09-09T11:56:00Z</cp:lastPrinted>
  <dcterms:created xsi:type="dcterms:W3CDTF">2024-09-09T14:15:00Z</dcterms:created>
  <dcterms:modified xsi:type="dcterms:W3CDTF">2024-09-09T14:15:00Z</dcterms:modified>
</cp:coreProperties>
</file>